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2564"/>
        <w:gridCol w:w="5498"/>
        <w:gridCol w:w="4783"/>
        <w:gridCol w:w="1061"/>
      </w:tblGrid>
      <w:tr w:rsidR="003851E3" w:rsidRPr="0034265F" w:rsidTr="00D1080F">
        <w:tc>
          <w:tcPr>
            <w:tcW w:w="1142" w:type="dxa"/>
            <w:shd w:val="clear" w:color="auto" w:fill="auto"/>
          </w:tcPr>
          <w:p w:rsidR="00A8520A" w:rsidRPr="0034265F" w:rsidRDefault="00A8520A" w:rsidP="0034265F">
            <w:pPr>
              <w:jc w:val="center"/>
              <w:rPr>
                <w:rFonts w:ascii="Arial" w:hAnsi="Arial" w:cs="Arial"/>
                <w:b/>
              </w:rPr>
            </w:pPr>
            <w:bookmarkStart w:id="0" w:name="_GoBack"/>
            <w:bookmarkEnd w:id="0"/>
            <w:r w:rsidRPr="0034265F">
              <w:rPr>
                <w:rFonts w:ascii="Arial" w:hAnsi="Arial" w:cs="Arial"/>
                <w:b/>
              </w:rPr>
              <w:t>Month/</w:t>
            </w:r>
          </w:p>
          <w:p w:rsidR="00C95693" w:rsidRPr="0034265F" w:rsidRDefault="00A8520A" w:rsidP="0034265F">
            <w:pPr>
              <w:jc w:val="center"/>
              <w:rPr>
                <w:rFonts w:ascii="Arial" w:hAnsi="Arial" w:cs="Arial"/>
                <w:b/>
              </w:rPr>
            </w:pPr>
            <w:r w:rsidRPr="0034265F">
              <w:rPr>
                <w:rFonts w:ascii="Arial" w:hAnsi="Arial" w:cs="Arial"/>
                <w:b/>
              </w:rPr>
              <w:t>Year</w:t>
            </w:r>
            <w:r w:rsidR="00C95693" w:rsidRPr="0034265F">
              <w:rPr>
                <w:rFonts w:ascii="Arial" w:hAnsi="Arial" w:cs="Arial"/>
                <w:b/>
              </w:rPr>
              <w:t xml:space="preserve"> </w:t>
            </w:r>
          </w:p>
        </w:tc>
        <w:tc>
          <w:tcPr>
            <w:tcW w:w="2564" w:type="dxa"/>
            <w:shd w:val="clear" w:color="auto" w:fill="auto"/>
          </w:tcPr>
          <w:p w:rsidR="00C95693" w:rsidRPr="0034265F" w:rsidRDefault="00C95693" w:rsidP="0034265F">
            <w:pPr>
              <w:jc w:val="center"/>
              <w:rPr>
                <w:rFonts w:ascii="Arial" w:hAnsi="Arial" w:cs="Arial"/>
                <w:b/>
              </w:rPr>
            </w:pPr>
            <w:r w:rsidRPr="0034265F">
              <w:rPr>
                <w:rFonts w:ascii="Arial" w:hAnsi="Arial" w:cs="Arial"/>
                <w:b/>
              </w:rPr>
              <w:t>Category</w:t>
            </w:r>
          </w:p>
        </w:tc>
        <w:tc>
          <w:tcPr>
            <w:tcW w:w="5498" w:type="dxa"/>
            <w:shd w:val="clear" w:color="auto" w:fill="auto"/>
          </w:tcPr>
          <w:p w:rsidR="00C95693" w:rsidRPr="0034265F" w:rsidRDefault="00153092" w:rsidP="00023A84">
            <w:pPr>
              <w:jc w:val="center"/>
              <w:rPr>
                <w:rFonts w:ascii="Arial" w:hAnsi="Arial" w:cs="Arial"/>
                <w:b/>
              </w:rPr>
            </w:pPr>
            <w:r w:rsidRPr="0034265F">
              <w:rPr>
                <w:rFonts w:ascii="Arial" w:hAnsi="Arial" w:cs="Arial"/>
                <w:b/>
              </w:rPr>
              <w:t xml:space="preserve">National Supplier Clearinghouse Advisory Committee (NSCAC) </w:t>
            </w:r>
            <w:r w:rsidR="00C95693" w:rsidRPr="0034265F">
              <w:rPr>
                <w:rFonts w:ascii="Arial" w:hAnsi="Arial" w:cs="Arial"/>
                <w:b/>
              </w:rPr>
              <w:t>Question</w:t>
            </w:r>
            <w:r w:rsidR="00023A84">
              <w:rPr>
                <w:rFonts w:ascii="Arial" w:hAnsi="Arial" w:cs="Arial"/>
                <w:b/>
              </w:rPr>
              <w:t xml:space="preserve">s </w:t>
            </w:r>
            <w:r w:rsidR="00023A84" w:rsidRPr="00023A84">
              <w:rPr>
                <w:rFonts w:ascii="Arial" w:hAnsi="Arial" w:cs="Arial"/>
                <w:b/>
              </w:rPr>
              <w:t>January 2014</w:t>
            </w:r>
          </w:p>
        </w:tc>
        <w:tc>
          <w:tcPr>
            <w:tcW w:w="4783" w:type="dxa"/>
            <w:shd w:val="clear" w:color="auto" w:fill="auto"/>
          </w:tcPr>
          <w:p w:rsidR="00C95693" w:rsidRPr="0034265F" w:rsidRDefault="00C95693" w:rsidP="0034265F">
            <w:pPr>
              <w:jc w:val="center"/>
              <w:rPr>
                <w:rFonts w:ascii="Arial" w:hAnsi="Arial" w:cs="Arial"/>
                <w:b/>
              </w:rPr>
            </w:pPr>
            <w:r w:rsidRPr="0034265F">
              <w:rPr>
                <w:rFonts w:ascii="Arial" w:hAnsi="Arial" w:cs="Arial"/>
                <w:b/>
              </w:rPr>
              <w:t>Answer</w:t>
            </w:r>
          </w:p>
        </w:tc>
        <w:tc>
          <w:tcPr>
            <w:tcW w:w="1061" w:type="dxa"/>
            <w:shd w:val="clear" w:color="auto" w:fill="auto"/>
          </w:tcPr>
          <w:p w:rsidR="00C95693" w:rsidRPr="0034265F" w:rsidRDefault="00C95693" w:rsidP="0034265F">
            <w:pPr>
              <w:jc w:val="center"/>
              <w:rPr>
                <w:rFonts w:ascii="Arial" w:hAnsi="Arial" w:cs="Arial"/>
                <w:b/>
              </w:rPr>
            </w:pPr>
            <w:r w:rsidRPr="0034265F">
              <w:rPr>
                <w:rFonts w:ascii="Arial" w:hAnsi="Arial" w:cs="Arial"/>
                <w:b/>
              </w:rPr>
              <w:t>Status</w:t>
            </w:r>
          </w:p>
        </w:tc>
      </w:tr>
      <w:tr w:rsidR="003851E3" w:rsidRPr="00023A84" w:rsidTr="00D1080F">
        <w:tc>
          <w:tcPr>
            <w:tcW w:w="1142" w:type="dxa"/>
            <w:shd w:val="clear" w:color="auto" w:fill="auto"/>
          </w:tcPr>
          <w:p w:rsidR="001435E2" w:rsidRPr="00023A84" w:rsidRDefault="00023A84" w:rsidP="004E0714">
            <w:pPr>
              <w:rPr>
                <w:rFonts w:ascii="Arial" w:hAnsi="Arial" w:cs="Arial"/>
                <w:sz w:val="20"/>
                <w:szCs w:val="20"/>
              </w:rPr>
            </w:pPr>
            <w:r w:rsidRPr="00023A84">
              <w:rPr>
                <w:rFonts w:ascii="Arial" w:hAnsi="Arial" w:cs="Arial"/>
                <w:sz w:val="20"/>
                <w:szCs w:val="20"/>
              </w:rPr>
              <w:t>Jan/2014</w:t>
            </w:r>
          </w:p>
        </w:tc>
        <w:tc>
          <w:tcPr>
            <w:tcW w:w="2564" w:type="dxa"/>
            <w:shd w:val="clear" w:color="auto" w:fill="auto"/>
          </w:tcPr>
          <w:p w:rsidR="001435E2" w:rsidRPr="00023A84" w:rsidRDefault="00E73211" w:rsidP="004E0714">
            <w:pPr>
              <w:rPr>
                <w:rFonts w:ascii="Arial" w:hAnsi="Arial" w:cs="Arial"/>
                <w:sz w:val="20"/>
                <w:szCs w:val="20"/>
              </w:rPr>
            </w:pPr>
            <w:r w:rsidRPr="00023A84">
              <w:rPr>
                <w:rFonts w:ascii="Arial" w:hAnsi="Arial" w:cs="Arial"/>
                <w:sz w:val="20"/>
                <w:szCs w:val="20"/>
              </w:rPr>
              <w:t>NSC Education</w:t>
            </w:r>
          </w:p>
        </w:tc>
        <w:tc>
          <w:tcPr>
            <w:tcW w:w="5498" w:type="dxa"/>
            <w:shd w:val="clear" w:color="auto" w:fill="auto"/>
          </w:tcPr>
          <w:p w:rsidR="001435E2" w:rsidRPr="00023A84" w:rsidRDefault="00943F0B" w:rsidP="00943F0B">
            <w:pPr>
              <w:numPr>
                <w:ilvl w:val="0"/>
                <w:numId w:val="2"/>
              </w:numPr>
              <w:jc w:val="both"/>
              <w:rPr>
                <w:rFonts w:ascii="Arial" w:hAnsi="Arial" w:cs="Arial"/>
                <w:spacing w:val="-2"/>
                <w:sz w:val="20"/>
                <w:szCs w:val="20"/>
              </w:rPr>
            </w:pPr>
            <w:r w:rsidRPr="00943F0B">
              <w:rPr>
                <w:rFonts w:ascii="Arial" w:hAnsi="Arial" w:cs="Arial"/>
                <w:spacing w:val="-2"/>
                <w:sz w:val="20"/>
                <w:szCs w:val="20"/>
              </w:rPr>
              <w:t xml:space="preserve">Lately the application status on both the IVR and the website application tool has been inconsistent: information is there one time, but gone the next; IVR says one thing, web shows a different status; various combinations. Is this a known issue or has there been updates to the system to cause this? If there are issues with the systems, it will be very helpful to inform suppliers. </w:t>
            </w:r>
          </w:p>
        </w:tc>
        <w:tc>
          <w:tcPr>
            <w:tcW w:w="4783" w:type="dxa"/>
            <w:shd w:val="clear" w:color="auto" w:fill="auto"/>
          </w:tcPr>
          <w:p w:rsidR="001435E2" w:rsidRPr="00023A84" w:rsidRDefault="00197667" w:rsidP="00863F55">
            <w:pPr>
              <w:rPr>
                <w:rFonts w:ascii="Arial" w:hAnsi="Arial" w:cs="Arial"/>
                <w:sz w:val="20"/>
                <w:szCs w:val="20"/>
              </w:rPr>
            </w:pPr>
            <w:r>
              <w:rPr>
                <w:rFonts w:ascii="Arial" w:hAnsi="Arial" w:cs="Arial"/>
                <w:sz w:val="20"/>
                <w:szCs w:val="20"/>
              </w:rPr>
              <w:t>The IVR/Application Status tool are not real-time and may have up to a 24-hour lag time. In most instances, they sho</w:t>
            </w:r>
            <w:r w:rsidR="00863F55">
              <w:rPr>
                <w:rFonts w:ascii="Arial" w:hAnsi="Arial" w:cs="Arial"/>
                <w:sz w:val="20"/>
                <w:szCs w:val="20"/>
              </w:rPr>
              <w:t>uld reflect the same status</w:t>
            </w:r>
            <w:r>
              <w:rPr>
                <w:rFonts w:ascii="Arial" w:hAnsi="Arial" w:cs="Arial"/>
                <w:sz w:val="20"/>
                <w:szCs w:val="20"/>
              </w:rPr>
              <w:t xml:space="preserve">. </w:t>
            </w:r>
            <w:r w:rsidR="00863F55">
              <w:rPr>
                <w:rFonts w:ascii="Arial" w:hAnsi="Arial" w:cs="Arial"/>
                <w:sz w:val="20"/>
                <w:szCs w:val="20"/>
              </w:rPr>
              <w:t xml:space="preserve">After several attempts, we’ve not been able to identify any inconsistency.  Please provide specific examples. </w:t>
            </w:r>
          </w:p>
        </w:tc>
        <w:tc>
          <w:tcPr>
            <w:tcW w:w="1061" w:type="dxa"/>
            <w:shd w:val="clear" w:color="auto" w:fill="auto"/>
          </w:tcPr>
          <w:p w:rsidR="001435E2" w:rsidRPr="00023A84" w:rsidRDefault="001435E2">
            <w:pPr>
              <w:rPr>
                <w:rFonts w:ascii="Arial" w:hAnsi="Arial" w:cs="Arial"/>
                <w:sz w:val="20"/>
                <w:szCs w:val="20"/>
              </w:rPr>
            </w:pPr>
          </w:p>
        </w:tc>
      </w:tr>
      <w:tr w:rsidR="003851E3" w:rsidRPr="00023A84" w:rsidTr="00D1080F">
        <w:tc>
          <w:tcPr>
            <w:tcW w:w="1142" w:type="dxa"/>
            <w:shd w:val="clear" w:color="auto" w:fill="auto"/>
          </w:tcPr>
          <w:p w:rsidR="004E0714" w:rsidRPr="00023A84" w:rsidRDefault="00142361" w:rsidP="004E0714">
            <w:pPr>
              <w:rPr>
                <w:rFonts w:ascii="Arial" w:hAnsi="Arial" w:cs="Arial"/>
                <w:sz w:val="20"/>
                <w:szCs w:val="20"/>
              </w:rPr>
            </w:pPr>
            <w:r w:rsidRPr="00023A84">
              <w:rPr>
                <w:rFonts w:ascii="Arial" w:hAnsi="Arial" w:cs="Arial"/>
                <w:sz w:val="20"/>
                <w:szCs w:val="20"/>
              </w:rPr>
              <w:t>Jan/2014</w:t>
            </w:r>
          </w:p>
        </w:tc>
        <w:tc>
          <w:tcPr>
            <w:tcW w:w="2564" w:type="dxa"/>
            <w:shd w:val="clear" w:color="auto" w:fill="auto"/>
          </w:tcPr>
          <w:p w:rsidR="004E0714" w:rsidRPr="00023A84" w:rsidRDefault="00E73211" w:rsidP="004E0714">
            <w:pPr>
              <w:rPr>
                <w:rFonts w:ascii="Arial" w:hAnsi="Arial" w:cs="Arial"/>
                <w:sz w:val="20"/>
                <w:szCs w:val="20"/>
              </w:rPr>
            </w:pPr>
            <w:r w:rsidRPr="00023A84">
              <w:rPr>
                <w:rFonts w:ascii="Arial" w:hAnsi="Arial" w:cs="Arial"/>
                <w:sz w:val="20"/>
                <w:szCs w:val="20"/>
              </w:rPr>
              <w:t>NSC Website</w:t>
            </w:r>
          </w:p>
        </w:tc>
        <w:tc>
          <w:tcPr>
            <w:tcW w:w="5498" w:type="dxa"/>
            <w:shd w:val="clear" w:color="auto" w:fill="auto"/>
          </w:tcPr>
          <w:p w:rsidR="004E0714" w:rsidRPr="00023A84" w:rsidRDefault="00142361" w:rsidP="004D6C42">
            <w:pPr>
              <w:numPr>
                <w:ilvl w:val="0"/>
                <w:numId w:val="2"/>
              </w:numPr>
              <w:jc w:val="both"/>
              <w:rPr>
                <w:rFonts w:ascii="Arial" w:hAnsi="Arial" w:cs="Arial"/>
                <w:color w:val="000000"/>
                <w:sz w:val="20"/>
                <w:szCs w:val="20"/>
              </w:rPr>
            </w:pPr>
            <w:r w:rsidRPr="00142361">
              <w:rPr>
                <w:rFonts w:ascii="Arial" w:hAnsi="Arial" w:cs="Arial"/>
                <w:spacing w:val="-2"/>
                <w:sz w:val="20"/>
                <w:szCs w:val="20"/>
              </w:rPr>
              <w:t xml:space="preserve">The NSC Website used to have a link that a Supplier could request a Welcome Letter be sent to them and that has been taken away and now a Supplier has to call a Customer Service Representative to request the letter.  Please provide an update if this link be coming back? </w:t>
            </w:r>
          </w:p>
        </w:tc>
        <w:tc>
          <w:tcPr>
            <w:tcW w:w="4783" w:type="dxa"/>
            <w:shd w:val="clear" w:color="auto" w:fill="auto"/>
          </w:tcPr>
          <w:p w:rsidR="004E0714" w:rsidRPr="00023A84" w:rsidRDefault="00772D0F" w:rsidP="004E0714">
            <w:pPr>
              <w:rPr>
                <w:rFonts w:ascii="Arial" w:hAnsi="Arial" w:cs="Arial"/>
                <w:sz w:val="20"/>
                <w:szCs w:val="20"/>
              </w:rPr>
            </w:pPr>
            <w:r>
              <w:rPr>
                <w:rFonts w:ascii="Arial" w:hAnsi="Arial" w:cs="Arial"/>
                <w:sz w:val="20"/>
                <w:szCs w:val="20"/>
              </w:rPr>
              <w:t xml:space="preserve">As stated, the link has been temporarily removed but we are planning to replace it in the foreseeable future. We are not able to provide a specific timeframe. In the </w:t>
            </w:r>
            <w:r w:rsidR="00197667">
              <w:rPr>
                <w:rFonts w:ascii="Arial" w:hAnsi="Arial" w:cs="Arial"/>
                <w:sz w:val="20"/>
                <w:szCs w:val="20"/>
              </w:rPr>
              <w:t>interim, NSC CSRs can h</w:t>
            </w:r>
            <w:r w:rsidR="00075357">
              <w:rPr>
                <w:rFonts w:ascii="Arial" w:hAnsi="Arial" w:cs="Arial"/>
                <w:sz w:val="20"/>
                <w:szCs w:val="20"/>
              </w:rPr>
              <w:t>andle requests for the</w:t>
            </w:r>
            <w:r>
              <w:rPr>
                <w:rFonts w:ascii="Arial" w:hAnsi="Arial" w:cs="Arial"/>
                <w:sz w:val="20"/>
                <w:szCs w:val="20"/>
              </w:rPr>
              <w:t xml:space="preserve"> duplica</w:t>
            </w:r>
            <w:r w:rsidR="00075357">
              <w:rPr>
                <w:rFonts w:ascii="Arial" w:hAnsi="Arial" w:cs="Arial"/>
                <w:sz w:val="20"/>
                <w:szCs w:val="20"/>
              </w:rPr>
              <w:t>te welcome letters. Requests for</w:t>
            </w:r>
            <w:r>
              <w:rPr>
                <w:rFonts w:ascii="Arial" w:hAnsi="Arial" w:cs="Arial"/>
                <w:sz w:val="20"/>
                <w:szCs w:val="20"/>
              </w:rPr>
              <w:t xml:space="preserve"> five or more</w:t>
            </w:r>
            <w:r w:rsidR="00075357">
              <w:rPr>
                <w:rFonts w:ascii="Arial" w:hAnsi="Arial" w:cs="Arial"/>
                <w:sz w:val="20"/>
                <w:szCs w:val="20"/>
              </w:rPr>
              <w:t xml:space="preserve"> locations</w:t>
            </w:r>
            <w:r>
              <w:rPr>
                <w:rFonts w:ascii="Arial" w:hAnsi="Arial" w:cs="Arial"/>
                <w:sz w:val="20"/>
                <w:szCs w:val="20"/>
              </w:rPr>
              <w:t xml:space="preserve"> should be mailed in on your company’s letterhead. </w:t>
            </w:r>
          </w:p>
        </w:tc>
        <w:tc>
          <w:tcPr>
            <w:tcW w:w="1061" w:type="dxa"/>
            <w:shd w:val="clear" w:color="auto" w:fill="auto"/>
          </w:tcPr>
          <w:p w:rsidR="004E0714" w:rsidRPr="00023A84" w:rsidRDefault="004E0714">
            <w:pPr>
              <w:rPr>
                <w:rFonts w:ascii="Arial" w:hAnsi="Arial" w:cs="Arial"/>
                <w:sz w:val="20"/>
                <w:szCs w:val="20"/>
              </w:rPr>
            </w:pPr>
          </w:p>
        </w:tc>
      </w:tr>
      <w:tr w:rsidR="003851E3" w:rsidRPr="00023A84" w:rsidTr="00D1080F">
        <w:tc>
          <w:tcPr>
            <w:tcW w:w="1142" w:type="dxa"/>
            <w:shd w:val="clear" w:color="auto" w:fill="auto"/>
          </w:tcPr>
          <w:p w:rsidR="004E0714" w:rsidRPr="00023A84" w:rsidRDefault="00725014" w:rsidP="004E0714">
            <w:pPr>
              <w:rPr>
                <w:rFonts w:ascii="Arial" w:hAnsi="Arial" w:cs="Arial"/>
                <w:sz w:val="20"/>
                <w:szCs w:val="20"/>
              </w:rPr>
            </w:pPr>
            <w:r w:rsidRPr="00023A84">
              <w:rPr>
                <w:rFonts w:ascii="Arial" w:hAnsi="Arial" w:cs="Arial"/>
                <w:sz w:val="20"/>
                <w:szCs w:val="20"/>
              </w:rPr>
              <w:t>Jan/2014</w:t>
            </w:r>
          </w:p>
        </w:tc>
        <w:tc>
          <w:tcPr>
            <w:tcW w:w="2564" w:type="dxa"/>
            <w:shd w:val="clear" w:color="auto" w:fill="auto"/>
          </w:tcPr>
          <w:p w:rsidR="004E0714" w:rsidRPr="00023A84" w:rsidRDefault="00E73211" w:rsidP="004E0714">
            <w:pPr>
              <w:rPr>
                <w:rFonts w:ascii="Arial" w:hAnsi="Arial" w:cs="Arial"/>
                <w:sz w:val="20"/>
                <w:szCs w:val="20"/>
              </w:rPr>
            </w:pPr>
            <w:r w:rsidRPr="00023A84">
              <w:rPr>
                <w:rFonts w:ascii="Arial" w:hAnsi="Arial" w:cs="Arial"/>
                <w:sz w:val="20"/>
                <w:szCs w:val="20"/>
              </w:rPr>
              <w:t>Other</w:t>
            </w:r>
          </w:p>
        </w:tc>
        <w:tc>
          <w:tcPr>
            <w:tcW w:w="5498" w:type="dxa"/>
            <w:shd w:val="clear" w:color="auto" w:fill="auto"/>
          </w:tcPr>
          <w:p w:rsidR="004E0714" w:rsidRPr="00023A84" w:rsidRDefault="00725014" w:rsidP="004D6C42">
            <w:pPr>
              <w:numPr>
                <w:ilvl w:val="0"/>
                <w:numId w:val="2"/>
              </w:numPr>
              <w:jc w:val="both"/>
              <w:rPr>
                <w:rFonts w:ascii="Arial" w:hAnsi="Arial" w:cs="Arial"/>
                <w:color w:val="000000"/>
                <w:sz w:val="20"/>
                <w:szCs w:val="20"/>
              </w:rPr>
            </w:pPr>
            <w:r w:rsidRPr="00725014">
              <w:rPr>
                <w:rFonts w:ascii="Arial" w:hAnsi="Arial" w:cs="Arial"/>
                <w:spacing w:val="-2"/>
                <w:sz w:val="20"/>
                <w:szCs w:val="20"/>
              </w:rPr>
              <w:t>When entering an application for a new location using PECOS, providers now must fill out the EFT form 588 electronically. Do we also need to complete and mail to the NSC paper copies (with original signatures) of the EFT form? The instructions are not clear. And, if mailing paper forms, is it still a good idea to send 4 sets, so that the NSC may pass these on to all 4 DME MACs?</w:t>
            </w:r>
          </w:p>
        </w:tc>
        <w:tc>
          <w:tcPr>
            <w:tcW w:w="4783" w:type="dxa"/>
            <w:shd w:val="clear" w:color="auto" w:fill="auto"/>
          </w:tcPr>
          <w:p w:rsidR="004E0714" w:rsidRPr="00023A84" w:rsidRDefault="00772D0F" w:rsidP="004E0714">
            <w:pPr>
              <w:rPr>
                <w:rFonts w:ascii="Arial" w:hAnsi="Arial" w:cs="Arial"/>
                <w:sz w:val="20"/>
                <w:szCs w:val="20"/>
              </w:rPr>
            </w:pPr>
            <w:r>
              <w:rPr>
                <w:rFonts w:ascii="Arial" w:hAnsi="Arial" w:cs="Arial"/>
                <w:sz w:val="20"/>
                <w:szCs w:val="20"/>
              </w:rPr>
              <w:t>The enrollment process via PECOS is co</w:t>
            </w:r>
            <w:r w:rsidR="00075357">
              <w:rPr>
                <w:rFonts w:ascii="Arial" w:hAnsi="Arial" w:cs="Arial"/>
                <w:sz w:val="20"/>
                <w:szCs w:val="20"/>
              </w:rPr>
              <w:t>mpletely electronic. If the EFT</w:t>
            </w:r>
            <w:r>
              <w:rPr>
                <w:rFonts w:ascii="Arial" w:hAnsi="Arial" w:cs="Arial"/>
                <w:sz w:val="20"/>
                <w:szCs w:val="20"/>
              </w:rPr>
              <w:t xml:space="preserve"> is completed, signed, and uploaded into PECOS, it is </w:t>
            </w:r>
            <w:r w:rsidR="00433D3F">
              <w:rPr>
                <w:rFonts w:ascii="Arial" w:hAnsi="Arial" w:cs="Arial"/>
                <w:sz w:val="20"/>
                <w:szCs w:val="20"/>
              </w:rPr>
              <w:t>no longer necessary to submit it hard copy</w:t>
            </w:r>
            <w:r>
              <w:rPr>
                <w:rFonts w:ascii="Arial" w:hAnsi="Arial" w:cs="Arial"/>
                <w:sz w:val="20"/>
                <w:szCs w:val="20"/>
              </w:rPr>
              <w:t xml:space="preserve">. Only one EFT agreement is needed via PECOS. </w:t>
            </w:r>
            <w:r w:rsidR="00433D3F">
              <w:rPr>
                <w:rFonts w:ascii="Arial" w:hAnsi="Arial" w:cs="Arial"/>
                <w:sz w:val="20"/>
                <w:szCs w:val="20"/>
              </w:rPr>
              <w:t xml:space="preserve">The NSC will duplicate it and send it to the DME MACs as necessary. </w:t>
            </w:r>
          </w:p>
        </w:tc>
        <w:tc>
          <w:tcPr>
            <w:tcW w:w="1061" w:type="dxa"/>
            <w:shd w:val="clear" w:color="auto" w:fill="auto"/>
          </w:tcPr>
          <w:p w:rsidR="004E0714" w:rsidRPr="00023A84" w:rsidRDefault="004E0714">
            <w:pPr>
              <w:rPr>
                <w:rFonts w:ascii="Arial" w:hAnsi="Arial" w:cs="Arial"/>
                <w:sz w:val="20"/>
                <w:szCs w:val="20"/>
              </w:rPr>
            </w:pPr>
          </w:p>
        </w:tc>
      </w:tr>
      <w:tr w:rsidR="009B0ECE" w:rsidRPr="00023A84" w:rsidTr="00D1080F">
        <w:tc>
          <w:tcPr>
            <w:tcW w:w="1142" w:type="dxa"/>
            <w:shd w:val="clear" w:color="auto" w:fill="auto"/>
          </w:tcPr>
          <w:p w:rsidR="009B0ECE" w:rsidRPr="00023A84" w:rsidRDefault="009B0ECE" w:rsidP="00243BDA">
            <w:pPr>
              <w:rPr>
                <w:rFonts w:ascii="Arial" w:hAnsi="Arial" w:cs="Arial"/>
                <w:sz w:val="20"/>
                <w:szCs w:val="20"/>
              </w:rPr>
            </w:pPr>
            <w:r w:rsidRPr="00023A84">
              <w:rPr>
                <w:rFonts w:ascii="Arial" w:hAnsi="Arial" w:cs="Arial"/>
                <w:sz w:val="20"/>
                <w:szCs w:val="20"/>
              </w:rPr>
              <w:t>Oct/2013</w:t>
            </w:r>
          </w:p>
        </w:tc>
        <w:tc>
          <w:tcPr>
            <w:tcW w:w="2564" w:type="dxa"/>
            <w:shd w:val="clear" w:color="auto" w:fill="auto"/>
          </w:tcPr>
          <w:p w:rsidR="009B0ECE" w:rsidRPr="00023A84" w:rsidRDefault="009B0ECE" w:rsidP="00243BDA">
            <w:pPr>
              <w:rPr>
                <w:rFonts w:ascii="Arial" w:hAnsi="Arial" w:cs="Arial"/>
                <w:sz w:val="20"/>
                <w:szCs w:val="20"/>
              </w:rPr>
            </w:pPr>
            <w:r w:rsidRPr="00023A84">
              <w:rPr>
                <w:rFonts w:ascii="Arial" w:hAnsi="Arial" w:cs="Arial"/>
                <w:sz w:val="20"/>
                <w:szCs w:val="20"/>
              </w:rPr>
              <w:t>Other</w:t>
            </w:r>
          </w:p>
        </w:tc>
        <w:tc>
          <w:tcPr>
            <w:tcW w:w="5498" w:type="dxa"/>
            <w:shd w:val="clear" w:color="auto" w:fill="auto"/>
          </w:tcPr>
          <w:p w:rsidR="009B0ECE" w:rsidRPr="00023A84" w:rsidRDefault="009B0ECE" w:rsidP="00943F0B">
            <w:pPr>
              <w:numPr>
                <w:ilvl w:val="0"/>
                <w:numId w:val="2"/>
              </w:numPr>
              <w:jc w:val="both"/>
              <w:rPr>
                <w:rFonts w:ascii="Arial" w:hAnsi="Arial" w:cs="Arial"/>
                <w:color w:val="000000"/>
                <w:sz w:val="20"/>
                <w:szCs w:val="20"/>
              </w:rPr>
            </w:pPr>
            <w:r w:rsidRPr="00023A84">
              <w:rPr>
                <w:rFonts w:ascii="Arial" w:hAnsi="Arial" w:cs="Arial"/>
                <w:color w:val="000000"/>
                <w:sz w:val="20"/>
                <w:szCs w:val="20"/>
              </w:rPr>
              <w:t>When as application is submitted for an immunization provider, their PTAN status automatically gets set up as participating provider even though NO participating provider agreements were ever submitted. When a new application for the same provider gets submitted for DME, the NSC automatically sets them up as a participating provider. We have recently had two providers that Barry Bromberg has had to intervene to fix their provider status. In realizing that only one participation status is allowed in PECOS, what would be the best way to notify the NSC, upon submitting a DME application, that the provider does NOT wish to be established as participating?</w:t>
            </w:r>
          </w:p>
          <w:p w:rsidR="009B0ECE" w:rsidRPr="00023A84" w:rsidRDefault="009B0ECE" w:rsidP="00243BDA">
            <w:pPr>
              <w:jc w:val="both"/>
              <w:rPr>
                <w:rFonts w:ascii="Arial" w:hAnsi="Arial" w:cs="Arial"/>
                <w:color w:val="000000"/>
                <w:sz w:val="20"/>
                <w:szCs w:val="20"/>
              </w:rPr>
            </w:pPr>
          </w:p>
          <w:p w:rsidR="009B0ECE" w:rsidRPr="00023A84" w:rsidRDefault="009B0ECE" w:rsidP="00243BDA">
            <w:pPr>
              <w:ind w:left="720"/>
              <w:jc w:val="both"/>
              <w:rPr>
                <w:rFonts w:ascii="Arial" w:hAnsi="Arial" w:cs="Arial"/>
                <w:color w:val="000000"/>
                <w:sz w:val="20"/>
                <w:szCs w:val="20"/>
              </w:rPr>
            </w:pPr>
            <w:r w:rsidRPr="009B0ECE">
              <w:rPr>
                <w:rFonts w:ascii="Arial" w:hAnsi="Arial" w:cs="Arial"/>
                <w:b/>
                <w:spacing w:val="-2"/>
                <w:sz w:val="20"/>
                <w:szCs w:val="20"/>
              </w:rPr>
              <w:t xml:space="preserve">Follow up question:  Many times the Part B Contractor's make errors that are not noticed until the DME application is complete and the carrier begins processing non-assigned claims as assigned.  Since "assignment" is not something that can be corrected, this created irreversible errors.  Would it be possible for the </w:t>
            </w:r>
            <w:r w:rsidRPr="009B0ECE">
              <w:rPr>
                <w:rFonts w:ascii="Arial" w:hAnsi="Arial" w:cs="Arial"/>
                <w:b/>
                <w:spacing w:val="-2"/>
                <w:sz w:val="20"/>
                <w:szCs w:val="20"/>
              </w:rPr>
              <w:lastRenderedPageBreak/>
              <w:t>NSC representative to develop the application for a Participating Provider Agreement Form when the NSC is processing an initial DME application where PECOS is indicating "Participation Status"?  This would give the provider an indication that their provider status was set up incorrectly and give a window of opportunity for the provider to get the Part B Contractor to fix the error.</w:t>
            </w:r>
          </w:p>
        </w:tc>
        <w:tc>
          <w:tcPr>
            <w:tcW w:w="4783" w:type="dxa"/>
            <w:shd w:val="clear" w:color="auto" w:fill="auto"/>
          </w:tcPr>
          <w:p w:rsidR="009B0ECE" w:rsidRPr="00023A84" w:rsidRDefault="009B0ECE" w:rsidP="00243BDA">
            <w:pPr>
              <w:jc w:val="both"/>
              <w:rPr>
                <w:rFonts w:ascii="Arial" w:hAnsi="Arial" w:cs="Arial"/>
                <w:sz w:val="20"/>
                <w:szCs w:val="20"/>
              </w:rPr>
            </w:pPr>
            <w:r w:rsidRPr="00023A84">
              <w:rPr>
                <w:rFonts w:ascii="Arial" w:hAnsi="Arial" w:cs="Arial"/>
                <w:sz w:val="20"/>
                <w:szCs w:val="20"/>
              </w:rPr>
              <w:lastRenderedPageBreak/>
              <w:t>Part B flu billers are automatically enrolled as participating provide</w:t>
            </w:r>
            <w:r w:rsidR="00772D0F">
              <w:rPr>
                <w:rFonts w:ascii="Arial" w:hAnsi="Arial" w:cs="Arial"/>
                <w:sz w:val="20"/>
                <w:szCs w:val="20"/>
              </w:rPr>
              <w:t xml:space="preserve">rs. Therefore, suppliers must </w:t>
            </w:r>
            <w:r w:rsidRPr="00023A84">
              <w:rPr>
                <w:rFonts w:ascii="Arial" w:hAnsi="Arial" w:cs="Arial"/>
                <w:sz w:val="20"/>
                <w:szCs w:val="20"/>
              </w:rPr>
              <w:t xml:space="preserve">indicate to their Part B contractor their decision to be non-participating but still accepting assignment for claims. Medicare A/B MACs will be receiving clarifying instructions from CMS on this topic.  </w:t>
            </w:r>
          </w:p>
          <w:p w:rsidR="009B0ECE" w:rsidRPr="00023A84" w:rsidRDefault="009B0ECE" w:rsidP="00243BDA">
            <w:pPr>
              <w:jc w:val="both"/>
              <w:rPr>
                <w:rFonts w:ascii="Arial" w:hAnsi="Arial" w:cs="Arial"/>
                <w:sz w:val="20"/>
                <w:szCs w:val="20"/>
              </w:rPr>
            </w:pPr>
          </w:p>
          <w:p w:rsidR="009B0ECE" w:rsidRPr="00023A84" w:rsidRDefault="009B0ECE" w:rsidP="00243BDA">
            <w:pPr>
              <w:jc w:val="both"/>
              <w:rPr>
                <w:rFonts w:ascii="Arial" w:hAnsi="Arial" w:cs="Arial"/>
                <w:sz w:val="20"/>
                <w:szCs w:val="20"/>
              </w:rPr>
            </w:pPr>
          </w:p>
          <w:p w:rsidR="009B0ECE" w:rsidRPr="00023A84" w:rsidRDefault="009B0ECE" w:rsidP="00243BDA">
            <w:pPr>
              <w:jc w:val="both"/>
              <w:rPr>
                <w:rFonts w:ascii="Arial" w:hAnsi="Arial" w:cs="Arial"/>
                <w:sz w:val="20"/>
                <w:szCs w:val="20"/>
              </w:rPr>
            </w:pPr>
          </w:p>
          <w:p w:rsidR="009B0ECE" w:rsidRPr="00023A84" w:rsidRDefault="009B0ECE" w:rsidP="00243BDA">
            <w:pPr>
              <w:jc w:val="both"/>
              <w:rPr>
                <w:rFonts w:ascii="Arial" w:hAnsi="Arial" w:cs="Arial"/>
                <w:sz w:val="20"/>
                <w:szCs w:val="20"/>
              </w:rPr>
            </w:pPr>
          </w:p>
          <w:p w:rsidR="00A401DB" w:rsidRDefault="00A401DB" w:rsidP="004604FD">
            <w:pPr>
              <w:jc w:val="both"/>
              <w:rPr>
                <w:rFonts w:ascii="Arial" w:hAnsi="Arial" w:cs="Arial"/>
                <w:sz w:val="20"/>
                <w:szCs w:val="20"/>
              </w:rPr>
            </w:pPr>
          </w:p>
          <w:p w:rsidR="00A401DB" w:rsidRDefault="00A401DB" w:rsidP="004604FD">
            <w:pPr>
              <w:jc w:val="both"/>
              <w:rPr>
                <w:rFonts w:ascii="Arial" w:hAnsi="Arial" w:cs="Arial"/>
                <w:sz w:val="20"/>
                <w:szCs w:val="20"/>
              </w:rPr>
            </w:pPr>
          </w:p>
          <w:p w:rsidR="00A401DB" w:rsidRDefault="00A401DB" w:rsidP="004604FD">
            <w:pPr>
              <w:jc w:val="both"/>
              <w:rPr>
                <w:rFonts w:ascii="Arial" w:hAnsi="Arial" w:cs="Arial"/>
                <w:sz w:val="20"/>
                <w:szCs w:val="20"/>
              </w:rPr>
            </w:pPr>
          </w:p>
          <w:p w:rsidR="00A401DB" w:rsidRDefault="00A401DB" w:rsidP="004604FD">
            <w:pPr>
              <w:jc w:val="both"/>
              <w:rPr>
                <w:rFonts w:ascii="Arial" w:hAnsi="Arial" w:cs="Arial"/>
                <w:sz w:val="20"/>
                <w:szCs w:val="20"/>
              </w:rPr>
            </w:pPr>
          </w:p>
          <w:p w:rsidR="00A401DB" w:rsidRDefault="00A401DB" w:rsidP="004604FD">
            <w:pPr>
              <w:jc w:val="both"/>
              <w:rPr>
                <w:rFonts w:ascii="Arial" w:hAnsi="Arial" w:cs="Arial"/>
                <w:sz w:val="20"/>
                <w:szCs w:val="20"/>
              </w:rPr>
            </w:pPr>
          </w:p>
          <w:p w:rsidR="009B0ECE" w:rsidRPr="00023A84" w:rsidRDefault="00180849" w:rsidP="004604FD">
            <w:pPr>
              <w:jc w:val="both"/>
              <w:rPr>
                <w:rFonts w:ascii="Arial" w:hAnsi="Arial" w:cs="Arial"/>
                <w:sz w:val="20"/>
                <w:szCs w:val="20"/>
              </w:rPr>
            </w:pPr>
            <w:r>
              <w:rPr>
                <w:rFonts w:ascii="Arial" w:hAnsi="Arial" w:cs="Arial"/>
                <w:sz w:val="20"/>
                <w:szCs w:val="20"/>
              </w:rPr>
              <w:t xml:space="preserve">Just as when enrolling with the NSC, the Part A/B MACS should inform providers if they are participating or nonparticipating in their ‘Welcome to Medicare’ letter. If this information is not included in the welcome letter, suppliers should contact their A/B MACs directly. </w:t>
            </w:r>
          </w:p>
        </w:tc>
        <w:tc>
          <w:tcPr>
            <w:tcW w:w="1061" w:type="dxa"/>
            <w:shd w:val="clear" w:color="auto" w:fill="auto"/>
          </w:tcPr>
          <w:p w:rsidR="009B0ECE" w:rsidRPr="00023A84" w:rsidRDefault="009B0ECE">
            <w:pPr>
              <w:rPr>
                <w:rFonts w:ascii="Arial" w:hAnsi="Arial" w:cs="Arial"/>
                <w:sz w:val="20"/>
                <w:szCs w:val="20"/>
              </w:rPr>
            </w:pPr>
          </w:p>
        </w:tc>
      </w:tr>
      <w:tr w:rsidR="009B0ECE" w:rsidRPr="00023A84" w:rsidTr="00D1080F">
        <w:tc>
          <w:tcPr>
            <w:tcW w:w="1142" w:type="dxa"/>
            <w:shd w:val="clear" w:color="auto" w:fill="auto"/>
          </w:tcPr>
          <w:p w:rsidR="009B0ECE" w:rsidRPr="00023A84" w:rsidRDefault="009B0ECE" w:rsidP="004E0714">
            <w:pPr>
              <w:rPr>
                <w:rFonts w:ascii="Arial" w:hAnsi="Arial" w:cs="Arial"/>
                <w:sz w:val="20"/>
                <w:szCs w:val="20"/>
              </w:rPr>
            </w:pPr>
          </w:p>
        </w:tc>
        <w:tc>
          <w:tcPr>
            <w:tcW w:w="2564" w:type="dxa"/>
            <w:shd w:val="clear" w:color="auto" w:fill="auto"/>
          </w:tcPr>
          <w:p w:rsidR="009B0ECE" w:rsidRPr="00023A84" w:rsidRDefault="009B0ECE" w:rsidP="004E0714">
            <w:pPr>
              <w:rPr>
                <w:rFonts w:ascii="Arial" w:hAnsi="Arial" w:cs="Arial"/>
                <w:sz w:val="20"/>
                <w:szCs w:val="20"/>
              </w:rPr>
            </w:pPr>
          </w:p>
        </w:tc>
        <w:tc>
          <w:tcPr>
            <w:tcW w:w="5498" w:type="dxa"/>
            <w:shd w:val="clear" w:color="auto" w:fill="auto"/>
          </w:tcPr>
          <w:p w:rsidR="009B0ECE" w:rsidRPr="00023A84" w:rsidRDefault="009B0ECE">
            <w:pPr>
              <w:rPr>
                <w:rFonts w:ascii="Arial" w:hAnsi="Arial" w:cs="Arial"/>
                <w:color w:val="000000"/>
                <w:sz w:val="20"/>
                <w:szCs w:val="20"/>
              </w:rPr>
            </w:pPr>
          </w:p>
        </w:tc>
        <w:tc>
          <w:tcPr>
            <w:tcW w:w="4783" w:type="dxa"/>
            <w:shd w:val="clear" w:color="auto" w:fill="auto"/>
          </w:tcPr>
          <w:p w:rsidR="009B0ECE" w:rsidRPr="00023A84" w:rsidRDefault="009B0ECE" w:rsidP="004E0714">
            <w:pPr>
              <w:rPr>
                <w:rFonts w:ascii="Arial" w:hAnsi="Arial" w:cs="Arial"/>
                <w:sz w:val="20"/>
                <w:szCs w:val="20"/>
              </w:rPr>
            </w:pPr>
          </w:p>
        </w:tc>
        <w:tc>
          <w:tcPr>
            <w:tcW w:w="1061" w:type="dxa"/>
            <w:shd w:val="clear" w:color="auto" w:fill="auto"/>
          </w:tcPr>
          <w:p w:rsidR="009B0ECE" w:rsidRPr="00023A84" w:rsidRDefault="009B0ECE">
            <w:pPr>
              <w:rPr>
                <w:rFonts w:ascii="Arial" w:hAnsi="Arial" w:cs="Arial"/>
                <w:sz w:val="20"/>
                <w:szCs w:val="20"/>
              </w:rPr>
            </w:pPr>
          </w:p>
        </w:tc>
      </w:tr>
    </w:tbl>
    <w:p w:rsidR="008D4657" w:rsidRPr="00023A84" w:rsidRDefault="009B0ECE">
      <w:pPr>
        <w:rPr>
          <w:sz w:val="20"/>
          <w:szCs w:val="20"/>
        </w:rPr>
      </w:pPr>
      <w:r w:rsidRPr="00023A84">
        <w:rPr>
          <w:sz w:val="20"/>
          <w:szCs w:val="20"/>
        </w:rPr>
        <w:t>December 20, 2013</w:t>
      </w:r>
      <w:r w:rsidR="003F1FE8">
        <w:rPr>
          <w:sz w:val="20"/>
          <w:szCs w:val="20"/>
        </w:rPr>
        <w:t xml:space="preserve">, </w:t>
      </w:r>
      <w:r w:rsidR="003F1FE8" w:rsidRPr="003F1FE8">
        <w:rPr>
          <w:color w:val="FF0000"/>
          <w:sz w:val="20"/>
          <w:szCs w:val="20"/>
        </w:rPr>
        <w:t>January 8, 2014</w:t>
      </w:r>
    </w:p>
    <w:p w:rsidR="00D50798" w:rsidRPr="00023A84" w:rsidRDefault="00D50798">
      <w:pPr>
        <w:rPr>
          <w:sz w:val="20"/>
          <w:szCs w:val="20"/>
        </w:rPr>
      </w:pPr>
    </w:p>
    <w:sectPr w:rsidR="00D50798" w:rsidRPr="00023A84" w:rsidSect="001435E2">
      <w:pgSz w:w="15840" w:h="12240" w:orient="landscape"/>
      <w:pgMar w:top="720" w:right="1440" w:bottom="547"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47EB3"/>
    <w:multiLevelType w:val="hybridMultilevel"/>
    <w:tmpl w:val="E64A2E2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79740A"/>
    <w:multiLevelType w:val="hybridMultilevel"/>
    <w:tmpl w:val="7C2412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AF510B1"/>
    <w:multiLevelType w:val="hybridMultilevel"/>
    <w:tmpl w:val="7C2412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BA42614"/>
    <w:multiLevelType w:val="hybridMultilevel"/>
    <w:tmpl w:val="0C2AF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93"/>
    <w:rsid w:val="00023A84"/>
    <w:rsid w:val="00075357"/>
    <w:rsid w:val="00106F75"/>
    <w:rsid w:val="00142361"/>
    <w:rsid w:val="001435E2"/>
    <w:rsid w:val="00153092"/>
    <w:rsid w:val="00180849"/>
    <w:rsid w:val="00197667"/>
    <w:rsid w:val="001E3249"/>
    <w:rsid w:val="00243BDA"/>
    <w:rsid w:val="002645D3"/>
    <w:rsid w:val="00337291"/>
    <w:rsid w:val="0034265F"/>
    <w:rsid w:val="00347A70"/>
    <w:rsid w:val="00371100"/>
    <w:rsid w:val="003851E3"/>
    <w:rsid w:val="003F1FE8"/>
    <w:rsid w:val="0042469E"/>
    <w:rsid w:val="00433D3F"/>
    <w:rsid w:val="004604FD"/>
    <w:rsid w:val="004D081E"/>
    <w:rsid w:val="004D6C42"/>
    <w:rsid w:val="004E0714"/>
    <w:rsid w:val="0056389A"/>
    <w:rsid w:val="00574EEE"/>
    <w:rsid w:val="00575A23"/>
    <w:rsid w:val="006C13F8"/>
    <w:rsid w:val="00722D53"/>
    <w:rsid w:val="00725014"/>
    <w:rsid w:val="00772D0F"/>
    <w:rsid w:val="00781E95"/>
    <w:rsid w:val="007D77DE"/>
    <w:rsid w:val="00863F55"/>
    <w:rsid w:val="00876769"/>
    <w:rsid w:val="008D4657"/>
    <w:rsid w:val="008E7FD1"/>
    <w:rsid w:val="00943F0B"/>
    <w:rsid w:val="009B0ECE"/>
    <w:rsid w:val="009C09B4"/>
    <w:rsid w:val="00A401DB"/>
    <w:rsid w:val="00A8520A"/>
    <w:rsid w:val="00AB292F"/>
    <w:rsid w:val="00C95693"/>
    <w:rsid w:val="00D1080F"/>
    <w:rsid w:val="00D50798"/>
    <w:rsid w:val="00E472A9"/>
    <w:rsid w:val="00E73211"/>
    <w:rsid w:val="00E7709E"/>
    <w:rsid w:val="00F17D13"/>
    <w:rsid w:val="00F37EAB"/>
    <w:rsid w:val="00FE56DD"/>
    <w:rsid w:val="00FF1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95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7667"/>
    <w:rPr>
      <w:rFonts w:ascii="Tahoma" w:hAnsi="Tahoma" w:cs="Tahoma"/>
      <w:sz w:val="16"/>
      <w:szCs w:val="16"/>
    </w:rPr>
  </w:style>
  <w:style w:type="character" w:customStyle="1" w:styleId="BalloonTextChar">
    <w:name w:val="Balloon Text Char"/>
    <w:link w:val="BalloonText"/>
    <w:uiPriority w:val="99"/>
    <w:semiHidden/>
    <w:rsid w:val="001976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95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7667"/>
    <w:rPr>
      <w:rFonts w:ascii="Tahoma" w:hAnsi="Tahoma" w:cs="Tahoma"/>
      <w:sz w:val="16"/>
      <w:szCs w:val="16"/>
    </w:rPr>
  </w:style>
  <w:style w:type="character" w:customStyle="1" w:styleId="BalloonTextChar">
    <w:name w:val="Balloon Text Char"/>
    <w:link w:val="BalloonText"/>
    <w:uiPriority w:val="99"/>
    <w:semiHidden/>
    <w:rsid w:val="001976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Month / Year</vt:lpstr>
    </vt:vector>
  </TitlesOfParts>
  <Company>Mckesson</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 Year</dc:title>
  <dc:subject/>
  <dc:creator>thei</dc:creator>
  <cp:keywords/>
  <cp:lastModifiedBy>Rose</cp:lastModifiedBy>
  <cp:revision>2</cp:revision>
  <cp:lastPrinted>2014-01-07T21:51:00Z</cp:lastPrinted>
  <dcterms:created xsi:type="dcterms:W3CDTF">2015-03-26T15:24:00Z</dcterms:created>
  <dcterms:modified xsi:type="dcterms:W3CDTF">2015-03-26T15:24:00Z</dcterms:modified>
  <cp:contentStatus/>
</cp:coreProperties>
</file>